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6D" w:rsidRPr="0092626D" w:rsidRDefault="0092626D" w:rsidP="0092626D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ANEXA Nr. 1la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norme</w:t>
      </w:r>
      <w:proofErr w:type="spellEnd"/>
    </w:p>
    <w:p w:rsidR="0092626D" w:rsidRPr="0092626D" w:rsidRDefault="0092626D" w:rsidP="009262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CERERE</w:t>
      </w: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de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autorizare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utilizarea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mecanismului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special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declararea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plata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TVA la import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sz w:val="24"/>
          <w:szCs w:val="24"/>
        </w:rPr>
        <w:t>Nr. . . . . . . . . . . data . . . . . . . . . .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solicitantului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> Cod EORI . . . . . . . . . .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Adresă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sediu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social . . . . . . . . . .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 E-mail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scopuri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de TVA . . . . . . . . . .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fiscal la care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înregistrat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scopuri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de TVA . . . . . . . . . .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vamă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totală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bunurilor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înscrise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declarațiile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vamale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punere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liberă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circulație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bunuri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cu o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intrinsecă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de maximum 150 euro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depuse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biroul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vamal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la care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transmisă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precedente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datei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. . . . . . . . . . lei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8*.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vamă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totală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estimată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bunurilor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cu o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intrinsecă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de maximum 150 euro din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declarațiile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vamale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punere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liberă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circulație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depuse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biroul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vamal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la care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transmisă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. . . . . . . . . . lei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completate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situația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solicitantul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nu a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depus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biroul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vamal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la care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transmisă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declarații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vamale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punere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liberă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circulație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bunuri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cu o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intrinsecă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de maximum 150 euro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precedente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care nu se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de la </w:t>
      </w:r>
      <w:r w:rsidRPr="0092626D">
        <w:rPr>
          <w:rFonts w:ascii="Times New Roman" w:eastAsia="Times New Roman" w:hAnsi="Times New Roman" w:cs="Times New Roman"/>
          <w:sz w:val="24"/>
          <w:szCs w:val="24"/>
          <w:u w:val="single"/>
        </w:rPr>
        <w:t>pct. 7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, . . . . . . . . . .,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legal al . . . . . . . . . .,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intenționez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utilizez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mecanismul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special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declararea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TVA la import,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626D">
        <w:rPr>
          <w:rFonts w:ascii="Times New Roman" w:eastAsia="Times New Roman" w:hAnsi="Times New Roman" w:cs="Times New Roman"/>
          <w:sz w:val="24"/>
          <w:szCs w:val="24"/>
          <w:u w:val="single"/>
        </w:rPr>
        <w:t>art. 315</w:t>
      </w:r>
      <w:r w:rsidRPr="0092626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 din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626D">
        <w:rPr>
          <w:rFonts w:ascii="Times New Roman" w:eastAsia="Times New Roman" w:hAnsi="Times New Roman" w:cs="Times New Roman"/>
          <w:sz w:val="24"/>
          <w:szCs w:val="24"/>
          <w:u w:val="single"/>
        </w:rPr>
        <w:t>nr. 227/2015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fiscal, cu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fiscal)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încasez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TVA de la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cărora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destinate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bunurile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intenționez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încep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mecanism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special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începând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cu data . . . . . . . . . .;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mă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oblig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informez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biroul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vamal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cale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electronică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de 3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producere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modificări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intervenite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ulterior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emiterii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autorizației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, care pot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influența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menținerea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conținutul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încetarea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activității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neîndeplinirea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condițiilor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utiliza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mecanismul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special;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mă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oblig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țin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registre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format electronic ale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operațiunilor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reglementate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mecanism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special,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art. 315</w:t>
      </w:r>
      <w:r w:rsidRPr="009262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  <w:u w:val="single"/>
        </w:rPr>
        <w:t>alin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  <w:u w:val="single"/>
        </w:rPr>
        <w:t>. (7)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 din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fiscal,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le pun la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dispoziția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vamale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solicitarea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păstrez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perioadă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de 10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încheierea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care s-au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efectuat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operațiunile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prenume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10.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Funcția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> Data . . . . . . . . . .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</w:p>
    <w:p w:rsidR="0092626D" w:rsidRPr="0092626D" w:rsidRDefault="0092626D" w:rsidP="0092626D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ANEXA Nr. 2la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norme</w:t>
      </w:r>
      <w:proofErr w:type="spellEnd"/>
    </w:p>
    <w:p w:rsidR="0092626D" w:rsidRPr="0092626D" w:rsidRDefault="0092626D" w:rsidP="009262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AUTORIZAȚIE</w:t>
      </w: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pentru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utilizarea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mecanismului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special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pentru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declararea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și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plata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TVA la import</w:t>
      </w: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nr. ROTVAROXXXXXXYYYYY/data . . . . . . . . . .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Societatea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.........., cu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.........., cod EORI..........,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autorizată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utilizeze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mecanismul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special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declararea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TVA la import,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anchor="p-397954322" w:tgtFrame="_blank" w:history="1">
        <w:r w:rsidRPr="009262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art. 315</w:t>
        </w:r>
        <w:r w:rsidRPr="0092626D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3</w:t>
        </w:r>
      </w:hyperlink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 din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tgtFrame="_blank" w:history="1">
        <w:r w:rsidRPr="009262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nr. 227/2015</w:t>
        </w:r>
      </w:hyperlink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fiscal, cu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lângă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biroul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vamal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Titularul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autorizației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obligația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informeze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biroul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vamal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care pot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influența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autorizație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autorizație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conține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anexă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Data de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începere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valabilității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"/>
        <w:gridCol w:w="6064"/>
      </w:tblGrid>
      <w:tr w:rsidR="0092626D" w:rsidRPr="0092626D" w:rsidTr="0092626D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26D" w:rsidRPr="0092626D" w:rsidTr="0092626D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Biroul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vamal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funcția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șefului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biroului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vamal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2626D" w:rsidRPr="0092626D" w:rsidRDefault="0092626D" w:rsidP="0092626D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ANEXĂla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Autorizația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utilizarea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mecanismului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special</w:t>
      </w: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declararea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plata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TVA la import nr. . . . . . . . . . .</w:t>
      </w:r>
    </w:p>
    <w:tbl>
      <w:tblPr>
        <w:tblW w:w="104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829"/>
        <w:gridCol w:w="1503"/>
        <w:gridCol w:w="1153"/>
        <w:gridCol w:w="1523"/>
        <w:gridCol w:w="829"/>
        <w:gridCol w:w="1943"/>
        <w:gridCol w:w="1153"/>
        <w:gridCol w:w="1523"/>
      </w:tblGrid>
      <w:tr w:rsidR="0092626D" w:rsidRPr="0092626D" w:rsidTr="0092626D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26D" w:rsidRPr="0092626D" w:rsidTr="0092626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AUTORIZARE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MODIFICARE/REVOCARE AUTORIZAȚIE</w:t>
            </w:r>
          </w:p>
        </w:tc>
      </w:tr>
      <w:tr w:rsidR="0092626D" w:rsidRPr="0092626D" w:rsidTr="0092626D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Biroul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vamal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emiterii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autorizației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Cuantum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garanție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Semnătură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șef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birou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vamal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Biroul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vamal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modificării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revocării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autorizației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Cuantum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garanție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Semnătură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șef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birou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vamal</w:t>
            </w:r>
            <w:proofErr w:type="spellEnd"/>
          </w:p>
        </w:tc>
      </w:tr>
      <w:tr w:rsidR="0092626D" w:rsidRPr="0092626D" w:rsidTr="0092626D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26D" w:rsidRPr="0092626D" w:rsidTr="0092626D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26D" w:rsidRPr="0092626D" w:rsidTr="0092626D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26D" w:rsidRPr="0092626D" w:rsidTr="0092626D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26D" w:rsidRPr="0092626D" w:rsidTr="0092626D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26D" w:rsidRPr="0092626D" w:rsidTr="0092626D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26D" w:rsidRPr="0092626D" w:rsidTr="0092626D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26D" w:rsidRPr="0092626D" w:rsidTr="0092626D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26D" w:rsidRPr="0092626D" w:rsidTr="0092626D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26D" w:rsidRPr="0092626D" w:rsidTr="0092626D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626D" w:rsidRPr="0092626D" w:rsidRDefault="0092626D" w:rsidP="0092626D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ANEXA Nr. 3la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norme</w:t>
      </w:r>
      <w:proofErr w:type="spellEnd"/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sz w:val="24"/>
          <w:szCs w:val="24"/>
        </w:rPr>
        <w:t>Nr. . . . . . . . . . . data . . . . . . . . . .</w:t>
      </w:r>
    </w:p>
    <w:p w:rsidR="0092626D" w:rsidRPr="0092626D" w:rsidRDefault="0092626D" w:rsidP="009262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DECLARAȚIE SPECIALĂ DE TVA</w:t>
      </w: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declararea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plata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TVA la import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cadrul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mecanismului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special,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prevăzut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art. 315</w:t>
      </w: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din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227/2015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Codul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fiscal, cu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modificările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completările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ulterioare</w:t>
      </w:r>
      <w:proofErr w:type="spellEnd"/>
    </w:p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Societatea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,..........,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înregistrată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scopuri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de TVA cu nr..........., titular al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Autorizației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mecanismului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special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declararea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TVA la import nr........... din data 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de..........,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plătit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nr........... al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biroului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vamal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..........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de.......... lei,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reprezentând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cuantumul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total al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taxei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adăugată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încasate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luna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..........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...........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Anexat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declarații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regăsesc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dovezii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efectuării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plății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tabelul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centralizator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cuprinde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de..........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înregistrări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reprezentând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declarațiile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punere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liberă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circulație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bunurilor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depuse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luna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..........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.......... la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biroul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vamal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destinatarilor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mecanismului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special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declararea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TVA la import,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prevăzut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la art. 315</w:t>
      </w:r>
      <w:r w:rsidRPr="009262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 din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> nr. 227/2015 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fiscal, cu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6059"/>
      </w:tblGrid>
      <w:tr w:rsidR="0092626D" w:rsidRPr="0092626D" w:rsidTr="0092626D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26D" w:rsidRPr="0092626D" w:rsidTr="0092626D">
        <w:trPr>
          <w:trHeight w:val="103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Funcția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 personal . . . . . . . . . .</w:t>
            </w:r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</w:tr>
    </w:tbl>
    <w:p w:rsidR="0092626D" w:rsidRPr="0092626D" w:rsidRDefault="0092626D" w:rsidP="0092626D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ANEXĂla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Declarația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specială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TVA</w:t>
      </w: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declararea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plata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TVA la import</w:t>
      </w: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cadrul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mecanismului</w:t>
      </w:r>
      <w:proofErr w:type="spellEnd"/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special nr. . . . . . . . . . . data . . . . . . . . . .</w:t>
      </w:r>
    </w:p>
    <w:tbl>
      <w:tblPr>
        <w:tblW w:w="80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78"/>
        <w:gridCol w:w="1565"/>
        <w:gridCol w:w="1770"/>
        <w:gridCol w:w="1621"/>
        <w:gridCol w:w="775"/>
        <w:gridCol w:w="682"/>
        <w:gridCol w:w="1135"/>
      </w:tblGrid>
      <w:tr w:rsidR="0092626D" w:rsidRPr="0092626D" w:rsidTr="0092626D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26D" w:rsidRPr="0092626D" w:rsidTr="0092626D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MRN</w:t>
            </w:r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declarație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vamală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PLC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acordării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liberului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vamă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destinatar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TVA</w:t>
            </w:r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declarat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TVA</w:t>
            </w:r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încasat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Observații</w:t>
            </w:r>
            <w:proofErr w:type="spellEnd"/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2626D" w:rsidRPr="0092626D" w:rsidTr="0092626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26D" w:rsidRPr="0092626D" w:rsidTr="0092626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26D" w:rsidRPr="0092626D" w:rsidTr="0092626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26D" w:rsidRPr="0092626D" w:rsidTr="0092626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6D">
              <w:rPr>
                <w:rFonts w:ascii="Times New Roman" w:eastAsia="Times New Roman" w:hAnsi="Times New Roman" w:cs="Times New Roman"/>
                <w:sz w:val="24"/>
                <w:szCs w:val="24"/>
              </w:rPr>
              <w:t>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26D" w:rsidRPr="0092626D" w:rsidRDefault="0092626D" w:rsidP="0092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626D" w:rsidRPr="0092626D" w:rsidRDefault="0092626D" w:rsidP="0092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6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26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cazurile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care TVA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declarat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nu coincide cu TVA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încasat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înscrie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motivele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diferenței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6D">
        <w:rPr>
          <w:rFonts w:ascii="Times New Roman" w:eastAsia="Times New Roman" w:hAnsi="Times New Roman" w:cs="Times New Roman"/>
          <w:sz w:val="24"/>
          <w:szCs w:val="24"/>
        </w:rPr>
        <w:t>valori</w:t>
      </w:r>
      <w:proofErr w:type="spellEnd"/>
      <w:r w:rsidRPr="00926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457" w:rsidRPr="0092626D" w:rsidRDefault="009262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457" w:rsidRPr="0092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30"/>
    <w:rsid w:val="005536FC"/>
    <w:rsid w:val="008C3630"/>
    <w:rsid w:val="0092626D"/>
    <w:rsid w:val="00A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262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2626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626D"/>
    <w:rPr>
      <w:color w:val="0000FF"/>
      <w:u w:val="single"/>
    </w:rPr>
  </w:style>
  <w:style w:type="paragraph" w:customStyle="1" w:styleId="al">
    <w:name w:val="a_l"/>
    <w:basedOn w:val="Normal"/>
    <w:rsid w:val="0092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262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2626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626D"/>
    <w:rPr>
      <w:color w:val="0000FF"/>
      <w:u w:val="single"/>
    </w:rPr>
  </w:style>
  <w:style w:type="paragraph" w:customStyle="1" w:styleId="al">
    <w:name w:val="a_l"/>
    <w:basedOn w:val="Normal"/>
    <w:rsid w:val="0092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9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e5.ro/Gratuit/g43donzugq/legea-nr-227-2015-privind-codul-fiscal?d=2021-07-05" TargetMode="External"/><Relationship Id="rId5" Type="http://schemas.openxmlformats.org/officeDocument/2006/relationships/hyperlink" Target="https://lege5.ro/Gratuit/g43donzvgi/codul-fiscal-din-2015?pid=397954322&amp;d=2021-07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Andraa</dc:creator>
  <cp:keywords/>
  <dc:description/>
  <cp:lastModifiedBy>Andraa</cp:lastModifiedBy>
  <cp:revision>3</cp:revision>
  <dcterms:created xsi:type="dcterms:W3CDTF">2021-07-05T06:25:00Z</dcterms:created>
  <dcterms:modified xsi:type="dcterms:W3CDTF">2021-07-05T06:28:00Z</dcterms:modified>
</cp:coreProperties>
</file>