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BF36" w14:textId="4D3B5196" w:rsidR="00FA6662" w:rsidRPr="00A0306B" w:rsidRDefault="00FA6662" w:rsidP="00FA6662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A0306B">
        <w:t>Ordinul</w:t>
      </w:r>
      <w:proofErr w:type="spellEnd"/>
      <w:r w:rsidRPr="00A0306B">
        <w:t xml:space="preserve"> 1610/2022:</w:t>
      </w:r>
    </w:p>
    <w:p w14:paraId="31745B96" w14:textId="02CAC247" w:rsidR="00FA6662" w:rsidRPr="00A0306B" w:rsidRDefault="00FA6662" w:rsidP="00FA6662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A0306B">
        <w:t>În</w:t>
      </w:r>
      <w:proofErr w:type="spellEnd"/>
      <w:r w:rsidRPr="00A0306B">
        <w:t xml:space="preserve"> </w:t>
      </w:r>
      <w:proofErr w:type="spellStart"/>
      <w:r w:rsidRPr="00A0306B">
        <w:t>temeiul</w:t>
      </w:r>
      <w:proofErr w:type="spellEnd"/>
      <w:r w:rsidRPr="00A0306B">
        <w:t xml:space="preserve"> art. 11 </w:t>
      </w:r>
      <w:proofErr w:type="spellStart"/>
      <w:r w:rsidRPr="00A0306B">
        <w:t>alin</w:t>
      </w:r>
      <w:proofErr w:type="spellEnd"/>
      <w:r w:rsidRPr="00A0306B">
        <w:t xml:space="preserve">. (3) din </w:t>
      </w:r>
      <w:proofErr w:type="spellStart"/>
      <w:r w:rsidRPr="00A0306B">
        <w:t>Hotărârea</w:t>
      </w:r>
      <w:proofErr w:type="spellEnd"/>
      <w:r w:rsidRPr="00A0306B">
        <w:t xml:space="preserve"> </w:t>
      </w:r>
      <w:proofErr w:type="spellStart"/>
      <w:r w:rsidRPr="00A0306B">
        <w:t>Guvernului</w:t>
      </w:r>
      <w:proofErr w:type="spellEnd"/>
      <w:r w:rsidRPr="00A0306B">
        <w:t xml:space="preserve"> nr. 520/2013 </w:t>
      </w:r>
      <w:proofErr w:type="spellStart"/>
      <w:r w:rsidRPr="00A0306B">
        <w:t>privind</w:t>
      </w:r>
      <w:proofErr w:type="spellEnd"/>
      <w:r w:rsidRPr="00A0306B">
        <w:t xml:space="preserve"> </w:t>
      </w:r>
      <w:proofErr w:type="spellStart"/>
      <w:r w:rsidRPr="00A0306B">
        <w:t>organizarea</w:t>
      </w:r>
      <w:proofErr w:type="spellEnd"/>
      <w:r w:rsidRPr="00A0306B">
        <w:t xml:space="preserve"> </w:t>
      </w:r>
      <w:proofErr w:type="spellStart"/>
      <w:r w:rsidRPr="00A0306B">
        <w:t>şi</w:t>
      </w:r>
      <w:proofErr w:type="spellEnd"/>
      <w:r w:rsidRPr="00A0306B">
        <w:t xml:space="preserve"> </w:t>
      </w:r>
      <w:proofErr w:type="spellStart"/>
      <w:r w:rsidRPr="00A0306B">
        <w:t>funcţionarea</w:t>
      </w:r>
      <w:proofErr w:type="spellEnd"/>
      <w:r w:rsidRPr="00A0306B">
        <w:t xml:space="preserve"> </w:t>
      </w:r>
      <w:proofErr w:type="spellStart"/>
      <w:r w:rsidRPr="00A0306B">
        <w:t>Agenţiei</w:t>
      </w:r>
      <w:proofErr w:type="spellEnd"/>
      <w:r w:rsidRPr="00A0306B">
        <w:t xml:space="preserve"> </w:t>
      </w:r>
      <w:proofErr w:type="spellStart"/>
      <w:r w:rsidRPr="00A0306B">
        <w:t>Naţionale</w:t>
      </w:r>
      <w:proofErr w:type="spellEnd"/>
      <w:r w:rsidRPr="00A0306B">
        <w:t xml:space="preserve"> de </w:t>
      </w:r>
      <w:proofErr w:type="spellStart"/>
      <w:r w:rsidRPr="00A0306B">
        <w:t>Administrare</w:t>
      </w:r>
      <w:proofErr w:type="spellEnd"/>
      <w:r w:rsidRPr="00A0306B">
        <w:t xml:space="preserve"> </w:t>
      </w:r>
      <w:proofErr w:type="spellStart"/>
      <w:r w:rsidRPr="00A0306B">
        <w:t>Fiscală</w:t>
      </w:r>
      <w:proofErr w:type="spellEnd"/>
      <w:r w:rsidRPr="00A0306B">
        <w:t xml:space="preserve">, cu </w:t>
      </w:r>
      <w:proofErr w:type="spellStart"/>
      <w:r w:rsidRPr="00A0306B">
        <w:t>modificările</w:t>
      </w:r>
      <w:proofErr w:type="spellEnd"/>
      <w:r w:rsidRPr="00A0306B">
        <w:t xml:space="preserve"> </w:t>
      </w:r>
      <w:proofErr w:type="spellStart"/>
      <w:r w:rsidRPr="00A0306B">
        <w:t>şi</w:t>
      </w:r>
      <w:proofErr w:type="spellEnd"/>
      <w:r w:rsidRPr="00A0306B">
        <w:t xml:space="preserve"> </w:t>
      </w:r>
      <w:proofErr w:type="spellStart"/>
      <w:r w:rsidRPr="00A0306B">
        <w:t>completările</w:t>
      </w:r>
      <w:proofErr w:type="spellEnd"/>
      <w:r w:rsidRPr="00A0306B">
        <w:t xml:space="preserve"> </w:t>
      </w:r>
      <w:proofErr w:type="spellStart"/>
      <w:r w:rsidRPr="00A0306B">
        <w:t>ulterioare</w:t>
      </w:r>
      <w:proofErr w:type="spellEnd"/>
      <w:r w:rsidRPr="00A0306B">
        <w:t>, al art. 5 </w:t>
      </w:r>
      <w:proofErr w:type="spellStart"/>
      <w:r w:rsidRPr="00A0306B">
        <w:t>alin</w:t>
      </w:r>
      <w:proofErr w:type="spellEnd"/>
      <w:r w:rsidRPr="00A0306B">
        <w:t>. (4) </w:t>
      </w:r>
      <w:proofErr w:type="spellStart"/>
      <w:r w:rsidRPr="00A0306B">
        <w:t>teza</w:t>
      </w:r>
      <w:proofErr w:type="spellEnd"/>
      <w:r w:rsidRPr="00A0306B">
        <w:t xml:space="preserve"> </w:t>
      </w:r>
      <w:proofErr w:type="gramStart"/>
      <w:r w:rsidRPr="00A0306B">
        <w:t>a</w:t>
      </w:r>
      <w:proofErr w:type="gramEnd"/>
      <w:r w:rsidRPr="00A0306B">
        <w:t xml:space="preserve"> II-a </w:t>
      </w:r>
      <w:proofErr w:type="spellStart"/>
      <w:r w:rsidRPr="00A0306B">
        <w:t>şi</w:t>
      </w:r>
      <w:proofErr w:type="spellEnd"/>
      <w:r w:rsidRPr="00A0306B">
        <w:t xml:space="preserve"> art. 302 </w:t>
      </w:r>
      <w:proofErr w:type="spellStart"/>
      <w:r w:rsidRPr="00A0306B">
        <w:t>alin</w:t>
      </w:r>
      <w:proofErr w:type="spellEnd"/>
      <w:r w:rsidRPr="00A0306B">
        <w:t xml:space="preserve">. (1) lit. a) din </w:t>
      </w:r>
      <w:proofErr w:type="spellStart"/>
      <w:r w:rsidRPr="00A0306B">
        <w:t>Legea</w:t>
      </w:r>
      <w:proofErr w:type="spellEnd"/>
      <w:r w:rsidRPr="00A0306B">
        <w:t> nr. 227/2015 </w:t>
      </w:r>
      <w:proofErr w:type="spellStart"/>
      <w:r w:rsidRPr="00A0306B">
        <w:t>privind</w:t>
      </w:r>
      <w:proofErr w:type="spellEnd"/>
      <w:r w:rsidRPr="00A0306B">
        <w:t xml:space="preserve"> </w:t>
      </w:r>
      <w:proofErr w:type="spellStart"/>
      <w:r w:rsidRPr="00A0306B">
        <w:t>Codul</w:t>
      </w:r>
      <w:proofErr w:type="spellEnd"/>
      <w:r w:rsidRPr="00A0306B">
        <w:t xml:space="preserve"> fiscal, cu </w:t>
      </w:r>
      <w:proofErr w:type="spellStart"/>
      <w:r w:rsidRPr="00A0306B">
        <w:t>modificările</w:t>
      </w:r>
      <w:proofErr w:type="spellEnd"/>
      <w:r w:rsidRPr="00A0306B">
        <w:t xml:space="preserve"> </w:t>
      </w:r>
      <w:proofErr w:type="spellStart"/>
      <w:r w:rsidRPr="00A0306B">
        <w:t>şi</w:t>
      </w:r>
      <w:proofErr w:type="spellEnd"/>
      <w:r w:rsidRPr="00A0306B">
        <w:t xml:space="preserve"> </w:t>
      </w:r>
      <w:proofErr w:type="spellStart"/>
      <w:r w:rsidRPr="00A0306B">
        <w:t>completările</w:t>
      </w:r>
      <w:proofErr w:type="spellEnd"/>
      <w:r w:rsidRPr="00A0306B">
        <w:t xml:space="preserve"> </w:t>
      </w:r>
      <w:proofErr w:type="spellStart"/>
      <w:r w:rsidRPr="00A0306B">
        <w:t>ulterioare</w:t>
      </w:r>
      <w:proofErr w:type="spellEnd"/>
      <w:r w:rsidRPr="00A0306B">
        <w:t xml:space="preserve">, al pct. 72 din </w:t>
      </w:r>
      <w:proofErr w:type="spellStart"/>
      <w:r w:rsidRPr="00A0306B">
        <w:t>titlul</w:t>
      </w:r>
      <w:proofErr w:type="spellEnd"/>
      <w:r w:rsidRPr="00A0306B">
        <w:t xml:space="preserve"> VII "Taxa pe </w:t>
      </w:r>
      <w:proofErr w:type="spellStart"/>
      <w:r w:rsidRPr="00A0306B">
        <w:t>valoarea</w:t>
      </w:r>
      <w:proofErr w:type="spellEnd"/>
      <w:r w:rsidRPr="00A0306B">
        <w:t xml:space="preserve"> </w:t>
      </w:r>
      <w:proofErr w:type="spellStart"/>
      <w:r w:rsidRPr="00A0306B">
        <w:t>adăugată</w:t>
      </w:r>
      <w:proofErr w:type="spellEnd"/>
      <w:r w:rsidRPr="00A0306B">
        <w:t xml:space="preserve">" al </w:t>
      </w:r>
      <w:proofErr w:type="spellStart"/>
      <w:r w:rsidRPr="00A0306B">
        <w:t>Normelor</w:t>
      </w:r>
      <w:proofErr w:type="spellEnd"/>
      <w:r w:rsidRPr="00A0306B">
        <w:t xml:space="preserve"> </w:t>
      </w:r>
      <w:proofErr w:type="spellStart"/>
      <w:r w:rsidRPr="00A0306B">
        <w:t>metodologice</w:t>
      </w:r>
      <w:proofErr w:type="spellEnd"/>
      <w:r w:rsidRPr="00A0306B">
        <w:t xml:space="preserve"> de </w:t>
      </w:r>
      <w:proofErr w:type="spellStart"/>
      <w:r w:rsidRPr="00A0306B">
        <w:t>aplicare</w:t>
      </w:r>
      <w:proofErr w:type="spellEnd"/>
      <w:r w:rsidRPr="00A0306B">
        <w:t xml:space="preserve"> a </w:t>
      </w:r>
      <w:proofErr w:type="spellStart"/>
      <w:r w:rsidRPr="00A0306B">
        <w:t>Legii</w:t>
      </w:r>
      <w:proofErr w:type="spellEnd"/>
      <w:r w:rsidRPr="00A0306B">
        <w:t> </w:t>
      </w:r>
      <w:hyperlink r:id="rId4" w:tgtFrame="_blank" w:history="1">
        <w:r w:rsidRPr="00A0306B">
          <w:rPr>
            <w:rStyle w:val="Hyperlink"/>
            <w:color w:val="auto"/>
          </w:rPr>
          <w:t>nr. 227/2015</w:t>
        </w:r>
      </w:hyperlink>
      <w:r w:rsidRPr="00A0306B">
        <w:t> </w:t>
      </w:r>
      <w:proofErr w:type="spellStart"/>
      <w:r w:rsidRPr="00A0306B">
        <w:t>privind</w:t>
      </w:r>
      <w:proofErr w:type="spellEnd"/>
      <w:r w:rsidRPr="00A0306B">
        <w:t> </w:t>
      </w:r>
      <w:proofErr w:type="spellStart"/>
      <w:r w:rsidRPr="00A0306B">
        <w:t>Codul</w:t>
      </w:r>
      <w:proofErr w:type="spellEnd"/>
      <w:r w:rsidRPr="00A0306B">
        <w:t xml:space="preserve"> fiscal, </w:t>
      </w:r>
      <w:proofErr w:type="spellStart"/>
      <w:r w:rsidRPr="00A0306B">
        <w:t>aprobate</w:t>
      </w:r>
      <w:proofErr w:type="spellEnd"/>
      <w:r w:rsidRPr="00A0306B">
        <w:t xml:space="preserve"> </w:t>
      </w:r>
      <w:proofErr w:type="spellStart"/>
      <w:r w:rsidRPr="00A0306B">
        <w:t>prin</w:t>
      </w:r>
      <w:proofErr w:type="spellEnd"/>
      <w:r w:rsidRPr="00A0306B">
        <w:t xml:space="preserve"> </w:t>
      </w:r>
      <w:proofErr w:type="spellStart"/>
      <w:r w:rsidRPr="00A0306B">
        <w:t>Hotărârea</w:t>
      </w:r>
      <w:proofErr w:type="spellEnd"/>
      <w:r w:rsidRPr="00A0306B">
        <w:t xml:space="preserve"> </w:t>
      </w:r>
      <w:proofErr w:type="spellStart"/>
      <w:r w:rsidRPr="00A0306B">
        <w:t>Guvernului</w:t>
      </w:r>
      <w:proofErr w:type="spellEnd"/>
      <w:r w:rsidRPr="00A0306B">
        <w:t xml:space="preserve"> nr. 1/2016, cu </w:t>
      </w:r>
      <w:proofErr w:type="spellStart"/>
      <w:r w:rsidRPr="00A0306B">
        <w:t>modificările</w:t>
      </w:r>
      <w:proofErr w:type="spellEnd"/>
      <w:r w:rsidRPr="00A0306B">
        <w:t xml:space="preserve"> </w:t>
      </w:r>
      <w:proofErr w:type="spellStart"/>
      <w:r w:rsidRPr="00A0306B">
        <w:t>şi</w:t>
      </w:r>
      <w:proofErr w:type="spellEnd"/>
      <w:r w:rsidRPr="00A0306B">
        <w:t xml:space="preserve"> </w:t>
      </w:r>
      <w:proofErr w:type="spellStart"/>
      <w:r w:rsidRPr="00A0306B">
        <w:t>completările</w:t>
      </w:r>
      <w:proofErr w:type="spellEnd"/>
      <w:r w:rsidRPr="00A0306B">
        <w:t xml:space="preserve"> </w:t>
      </w:r>
      <w:proofErr w:type="spellStart"/>
      <w:r w:rsidRPr="00A0306B">
        <w:t>ulterioare</w:t>
      </w:r>
      <w:proofErr w:type="spellEnd"/>
      <w:r w:rsidRPr="00A0306B">
        <w:t>,</w:t>
      </w:r>
    </w:p>
    <w:p w14:paraId="57EA5F95" w14:textId="67B0BD92" w:rsidR="00FA6662" w:rsidRPr="00A0306B" w:rsidRDefault="00FA6662" w:rsidP="00FA6662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A0306B">
        <w:t>având</w:t>
      </w:r>
      <w:proofErr w:type="spellEnd"/>
      <w:r w:rsidRPr="00A0306B">
        <w:t xml:space="preserve"> </w:t>
      </w:r>
      <w:proofErr w:type="spellStart"/>
      <w:r w:rsidRPr="00A0306B">
        <w:t>în</w:t>
      </w:r>
      <w:proofErr w:type="spellEnd"/>
      <w:r w:rsidRPr="00A0306B">
        <w:t xml:space="preserve"> </w:t>
      </w:r>
      <w:proofErr w:type="spellStart"/>
      <w:r w:rsidRPr="00A0306B">
        <w:t>vedere</w:t>
      </w:r>
      <w:proofErr w:type="spellEnd"/>
      <w:r w:rsidRPr="00A0306B">
        <w:t xml:space="preserve"> </w:t>
      </w:r>
      <w:proofErr w:type="spellStart"/>
      <w:r w:rsidRPr="00A0306B">
        <w:t>dispoziţiile</w:t>
      </w:r>
      <w:proofErr w:type="spellEnd"/>
      <w:r w:rsidRPr="00A0306B">
        <w:t xml:space="preserve"> art. 93 </w:t>
      </w:r>
      <w:proofErr w:type="spellStart"/>
      <w:r w:rsidRPr="00A0306B">
        <w:t>alin</w:t>
      </w:r>
      <w:proofErr w:type="spellEnd"/>
      <w:r w:rsidRPr="00A0306B">
        <w:t>. (3) </w:t>
      </w:r>
      <w:proofErr w:type="spellStart"/>
      <w:r w:rsidRPr="00A0306B">
        <w:t>şi</w:t>
      </w:r>
      <w:proofErr w:type="spellEnd"/>
      <w:r w:rsidRPr="00A0306B">
        <w:t xml:space="preserve"> ale art. 342 </w:t>
      </w:r>
      <w:proofErr w:type="spellStart"/>
      <w:r w:rsidRPr="00A0306B">
        <w:t>alin</w:t>
      </w:r>
      <w:proofErr w:type="spellEnd"/>
      <w:r w:rsidRPr="00A0306B">
        <w:t xml:space="preserve">. (1) din </w:t>
      </w:r>
      <w:proofErr w:type="spellStart"/>
      <w:r w:rsidRPr="00A0306B">
        <w:t>Legea</w:t>
      </w:r>
      <w:proofErr w:type="spellEnd"/>
      <w:r w:rsidRPr="00A0306B">
        <w:t> nr. 207/2015 </w:t>
      </w:r>
      <w:proofErr w:type="spellStart"/>
      <w:r w:rsidRPr="00A0306B">
        <w:t>privind</w:t>
      </w:r>
      <w:proofErr w:type="spellEnd"/>
      <w:r w:rsidRPr="00A0306B">
        <w:t xml:space="preserve"> </w:t>
      </w:r>
      <w:proofErr w:type="spellStart"/>
      <w:r w:rsidRPr="00A0306B">
        <w:t>Codul</w:t>
      </w:r>
      <w:proofErr w:type="spellEnd"/>
      <w:r w:rsidRPr="00A0306B">
        <w:t xml:space="preserve"> de </w:t>
      </w:r>
      <w:proofErr w:type="spellStart"/>
      <w:r w:rsidRPr="00A0306B">
        <w:t>procedură</w:t>
      </w:r>
      <w:proofErr w:type="spellEnd"/>
      <w:r w:rsidRPr="00A0306B">
        <w:t xml:space="preserve"> </w:t>
      </w:r>
      <w:proofErr w:type="spellStart"/>
      <w:r w:rsidRPr="00A0306B">
        <w:t>fiscală</w:t>
      </w:r>
      <w:proofErr w:type="spellEnd"/>
      <w:r w:rsidRPr="00A0306B">
        <w:t xml:space="preserve">, cu </w:t>
      </w:r>
      <w:proofErr w:type="spellStart"/>
      <w:r w:rsidRPr="00A0306B">
        <w:t>modificările</w:t>
      </w:r>
      <w:proofErr w:type="spellEnd"/>
      <w:r w:rsidRPr="00A0306B">
        <w:t xml:space="preserve"> </w:t>
      </w:r>
      <w:proofErr w:type="spellStart"/>
      <w:r w:rsidRPr="00A0306B">
        <w:t>şi</w:t>
      </w:r>
      <w:proofErr w:type="spellEnd"/>
      <w:r w:rsidRPr="00A0306B">
        <w:t xml:space="preserve"> </w:t>
      </w:r>
      <w:proofErr w:type="spellStart"/>
      <w:r w:rsidRPr="00A0306B">
        <w:t>completările</w:t>
      </w:r>
      <w:proofErr w:type="spellEnd"/>
      <w:r w:rsidRPr="00A0306B">
        <w:t xml:space="preserve"> </w:t>
      </w:r>
      <w:proofErr w:type="spellStart"/>
      <w:r w:rsidRPr="00A0306B">
        <w:t>ulterioare</w:t>
      </w:r>
      <w:proofErr w:type="spellEnd"/>
      <w:r w:rsidRPr="00A0306B">
        <w:t xml:space="preserve">, precum </w:t>
      </w:r>
      <w:proofErr w:type="spellStart"/>
      <w:r w:rsidRPr="00A0306B">
        <w:t>şi</w:t>
      </w:r>
      <w:proofErr w:type="spellEnd"/>
      <w:r w:rsidRPr="00A0306B">
        <w:t xml:space="preserve"> </w:t>
      </w:r>
      <w:proofErr w:type="spellStart"/>
      <w:r w:rsidRPr="00A0306B">
        <w:t>avizul</w:t>
      </w:r>
      <w:proofErr w:type="spellEnd"/>
      <w:r w:rsidRPr="00A0306B">
        <w:t xml:space="preserve"> conform al </w:t>
      </w:r>
      <w:proofErr w:type="spellStart"/>
      <w:r w:rsidRPr="00A0306B">
        <w:t>Ministerului</w:t>
      </w:r>
      <w:proofErr w:type="spellEnd"/>
      <w:r w:rsidRPr="00A0306B">
        <w:t xml:space="preserve"> </w:t>
      </w:r>
      <w:proofErr w:type="spellStart"/>
      <w:r w:rsidRPr="00A0306B">
        <w:t>Finanţelor</w:t>
      </w:r>
      <w:proofErr w:type="spellEnd"/>
      <w:r w:rsidRPr="00A0306B">
        <w:t xml:space="preserve">, </w:t>
      </w:r>
      <w:proofErr w:type="spellStart"/>
      <w:r w:rsidRPr="00A0306B">
        <w:t>comunicat</w:t>
      </w:r>
      <w:proofErr w:type="spellEnd"/>
      <w:r w:rsidRPr="00A0306B">
        <w:t xml:space="preserve"> </w:t>
      </w:r>
      <w:proofErr w:type="spellStart"/>
      <w:r w:rsidRPr="00A0306B">
        <w:t>prin</w:t>
      </w:r>
      <w:proofErr w:type="spellEnd"/>
      <w:r w:rsidRPr="00A0306B">
        <w:t xml:space="preserve"> </w:t>
      </w:r>
      <w:proofErr w:type="spellStart"/>
      <w:r w:rsidRPr="00A0306B">
        <w:t>Adresa</w:t>
      </w:r>
      <w:proofErr w:type="spellEnd"/>
      <w:r w:rsidRPr="00A0306B">
        <w:t xml:space="preserve"> nr. 741.962 din 24.08.2022,</w:t>
      </w:r>
    </w:p>
    <w:p w14:paraId="2765661D" w14:textId="631A6214" w:rsidR="000A5FF6" w:rsidRPr="00A0306B" w:rsidRDefault="00FA66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preşedintele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Agenţiei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Naţionale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Administrare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Fiscală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emite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următorul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ordin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E0B3CDA" w14:textId="76FCBA2C" w:rsidR="00FA6662" w:rsidRPr="00FA6662" w:rsidRDefault="00FA6662" w:rsidP="00FA6662">
      <w:pPr>
        <w:shd w:val="clear" w:color="auto" w:fill="FFFFFF"/>
        <w:spacing w:before="225" w:after="7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Art. I. -</w:t>
      </w:r>
    </w:p>
    <w:p w14:paraId="202A48DF" w14:textId="449FFDD9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preşedintelui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Agenţiei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>nr. 2.809/2016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A666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"https://lege5.ro/Gratuit/geztgmbtha4q/procedura-de-solutionare-a-cererilor-de-rambursare-a-taxei-pe-valoarea-adaugata-formulate-de-catre-persoanele-impozabile-nestabilite-in-romania-stabilite-in-alt-stat-membru-al-uniunii-europene-din-290?d=2022-09-11" \t "_blank" </w:instrText>
      </w:r>
      <w:r w:rsidRPr="00FA666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>Procedurii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 de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soluţionare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cererilor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rambursare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taxei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adăugată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formulate de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impozabile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nestabilite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alt stat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Uniunii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publicat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I, nr. 868 din 31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octombrie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2016, se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modifică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3A460B" w14:textId="77777777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tot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cuprinsul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ordinului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sintagmele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Direcţia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tehnologia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informaţiei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Direcţia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tehnologia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informaţiei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Agenţiei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" se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înlocuiesc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sintagma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Finanţelor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039DBBDD" w14:textId="2942AE9C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nr. 1 la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a 3-a,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>punctele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7.2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>7.3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 se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modifică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următorul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cuprins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3CB2AC" w14:textId="77777777" w:rsidR="00FA6662" w:rsidRPr="00FA6662" w:rsidRDefault="00FA6662" w:rsidP="00FA6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</w:p>
    <w:p w14:paraId="149F62D4" w14:textId="61847C52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7.2.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cazul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care, pe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parcursul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perioadei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solicitantul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fost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înregistrat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scopuri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TVA conform 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art. 316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din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Codul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fiscal,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compartimentul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specialitate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întocmeşte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referat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conform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modelului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prevăzut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anexa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nr. 5 la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prezenta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procedură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propune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respingerea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rambursării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TVA.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Referatul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înaintat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spre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avizare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conducătorului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compartimentului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specialitate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După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avizare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referatul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transmite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şefului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administraţie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adjunct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colectare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persoane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juridice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aprobare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19F1989" w14:textId="77777777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7.3.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Pe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baza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referatului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propune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respingerea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rambursării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TVA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întocmeşte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proiectul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deciziei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TVA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persoanele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impozabile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nestabilite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România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stabilite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alt stat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membru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Uniunii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Europene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conform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modelului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prevăzut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anexa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nr. 2 la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ordin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respinge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taxa pe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valoarea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adăugată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solicitată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Proiectul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deciziei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TVA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transmite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şefului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administraţiei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aprobare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Proiectul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deciziei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TVA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întocmeşte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două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exemplare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primul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semnează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numai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şeful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administraţiei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iar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doilea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semnează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către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persoanele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implicate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potrivit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competenţelor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stabilite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Regulamentul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organizare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funcţionare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FA3714B" w14:textId="77777777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. . . . . . . . . .</w:t>
      </w:r>
    </w:p>
    <w:p w14:paraId="0C3DF988" w14:textId="0A06BB1F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14.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cazul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există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suspiciuni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privire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unele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facturi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achiziţii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bunuri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prestări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servicii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compartimentul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specialitate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poate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solicita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cu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avizul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şefului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administraţie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adjunct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colectare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persoane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juridice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efectuarea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unei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constatări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faţa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locului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potrivit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art. 65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din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Codul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procedură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fiscală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la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persoana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impozabilă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stabilită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România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</w:t>
      </w:r>
      <w:proofErr w:type="gram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emis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respectiva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factură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."</w:t>
      </w:r>
    </w:p>
    <w:p w14:paraId="409A7B1F" w14:textId="1815E4CA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nr. 1 la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a 4-a,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>punctele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15.1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>15.2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 se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modifică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următorul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cuprins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8A08A6" w14:textId="77777777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15.1.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Rezultatul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analizei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efectuate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vederea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soluţionării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cererii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consemnează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într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-un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referat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propune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rambursarea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integrală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rambursarea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parţială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respingerea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rambursării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TVA.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Referatul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avizează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conducătorul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compartimentului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specialitate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transmite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şefului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administraţie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adjunct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colectare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persoane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juridice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aprobare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3C7A7B55" w14:textId="77777777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15.2.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Pe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baza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referatului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analiză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întocmeşte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proiectul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deciziei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TVA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persoanele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impozabile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nestabilite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România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stabilite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alt stat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membru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Uniunii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Europene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conform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modelului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prevăzut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anexa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nr. 2 la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ordin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transmite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şefului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administraţiei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aprobare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."</w:t>
      </w:r>
    </w:p>
    <w:p w14:paraId="41DA3A1B" w14:textId="42536964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nr. 1 la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a 4-a,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>punctul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15.2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 se introduce un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punctul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15.3, cu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următorul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cuprins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F3E98F" w14:textId="77777777" w:rsidR="00FA6662" w:rsidRPr="00FA6662" w:rsidRDefault="00FA6662" w:rsidP="00FA6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</w:p>
    <w:p w14:paraId="0754054B" w14:textId="77777777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15.3.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Decizia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TVA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întocmeşte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două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exemplare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primul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semnează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numai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şeful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administraţiei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iar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doilea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semnează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către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persoanele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implicate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potrivit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competenţelor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stabilite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regulamentul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organizare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funcţionare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."</w:t>
      </w:r>
    </w:p>
    <w:p w14:paraId="3D5BC8EA" w14:textId="698AA3B5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nr. 1 la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a 7-a,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>punctele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24.1.1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662">
        <w:rPr>
          <w:rFonts w:ascii="Times New Roman" w:eastAsia="Times New Roman" w:hAnsi="Times New Roman" w:cs="Times New Roman"/>
          <w:sz w:val="24"/>
          <w:szCs w:val="24"/>
          <w:u w:val="single"/>
        </w:rPr>
        <w:t>25.1.1</w:t>
      </w:r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 se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modifică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următorul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cuprins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379B78" w14:textId="77777777" w:rsidR="00FA6662" w:rsidRPr="00FA6662" w:rsidRDefault="00FA6662" w:rsidP="00FA6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</w:p>
    <w:p w14:paraId="4153F1A2" w14:textId="38A84895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24.1.1.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Proiectul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deciziei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stabilirea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diferenţelor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TVA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rambursată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art. 302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alin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. (1) 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lit. a)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din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Codul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fiscal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transmite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şefului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administraţiei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aprobare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Decizia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stabilirea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diferenţelor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TVA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întocmeşte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două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exemplare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primul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semnează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numai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şeful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administraţiei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iar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doilea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semnează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către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persoanele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implicate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potrivit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competenţelor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stabilite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Regulamentul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organizare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funcţionare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C699FAE" w14:textId="2FB9CBBF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25.1.1.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Proiectul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deciziei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stabilirea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diferenţelor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TVA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rambursată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art. 302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alin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. (1) 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lit. a)</w:t>
      </w:r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din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Codul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fiscal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transmite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şefului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administraţiei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aprobare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Decizia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stabilirea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diferenţelor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TVA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întocmeşte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două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exemplare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primul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semnează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numai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şeful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administraţiei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iar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doilea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semnează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către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persoanele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implicate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potrivit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competenţelor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stabilite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Regulamentul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organizare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funcţionare</w:t>
      </w:r>
      <w:proofErr w:type="spellEnd"/>
      <w:r w:rsidRPr="00FA6662">
        <w:rPr>
          <w:rFonts w:ascii="Times New Roman" w:eastAsia="Times New Roman" w:hAnsi="Times New Roman" w:cs="Times New Roman"/>
          <w:i/>
          <w:iCs/>
          <w:sz w:val="24"/>
          <w:szCs w:val="24"/>
        </w:rPr>
        <w:t>."</w:t>
      </w:r>
    </w:p>
    <w:p w14:paraId="4F9D3497" w14:textId="21A0D193" w:rsidR="00FA6662" w:rsidRPr="00A0306B" w:rsidRDefault="00FA6662" w:rsidP="00FA6662">
      <w:pPr>
        <w:pStyle w:val="al"/>
        <w:shd w:val="clear" w:color="auto" w:fill="FFFFFF"/>
        <w:spacing w:before="0" w:beforeAutospacing="0" w:after="150" w:afterAutospacing="0"/>
        <w:jc w:val="both"/>
      </w:pPr>
      <w:r w:rsidRPr="00A0306B">
        <w:rPr>
          <w:b/>
          <w:bCs/>
        </w:rPr>
        <w:t>6.</w:t>
      </w:r>
      <w:r w:rsidRPr="00A0306B">
        <w:t> </w:t>
      </w:r>
      <w:proofErr w:type="spellStart"/>
      <w:r w:rsidRPr="00A0306B">
        <w:t>Anexa</w:t>
      </w:r>
      <w:proofErr w:type="spellEnd"/>
      <w:r w:rsidRPr="00A0306B">
        <w:t xml:space="preserve"> nr. 2 la </w:t>
      </w:r>
      <w:proofErr w:type="spellStart"/>
      <w:r w:rsidRPr="00A0306B">
        <w:t>procedură</w:t>
      </w:r>
      <w:proofErr w:type="spellEnd"/>
      <w:r w:rsidRPr="00A0306B">
        <w:t xml:space="preserve"> se </w:t>
      </w:r>
      <w:proofErr w:type="spellStart"/>
      <w:r w:rsidRPr="00A0306B">
        <w:t>modifică</w:t>
      </w:r>
      <w:proofErr w:type="spellEnd"/>
      <w:r w:rsidRPr="00A0306B">
        <w:t xml:space="preserve"> </w:t>
      </w:r>
      <w:proofErr w:type="spellStart"/>
      <w:r w:rsidRPr="00A0306B">
        <w:t>şi</w:t>
      </w:r>
      <w:proofErr w:type="spellEnd"/>
      <w:r w:rsidRPr="00A0306B">
        <w:t xml:space="preserve"> se </w:t>
      </w:r>
      <w:proofErr w:type="spellStart"/>
      <w:r w:rsidRPr="00A0306B">
        <w:t>înlocuieşte</w:t>
      </w:r>
      <w:proofErr w:type="spellEnd"/>
      <w:r w:rsidRPr="00A0306B">
        <w:t xml:space="preserve"> cu </w:t>
      </w:r>
      <w:proofErr w:type="spellStart"/>
      <w:r w:rsidRPr="00A0306B">
        <w:t>anexa</w:t>
      </w:r>
      <w:proofErr w:type="spellEnd"/>
      <w:r w:rsidRPr="00A0306B">
        <w:t xml:space="preserve"> nr. 1 la </w:t>
      </w:r>
      <w:proofErr w:type="spellStart"/>
      <w:r w:rsidRPr="00A0306B">
        <w:t>prezentul</w:t>
      </w:r>
      <w:proofErr w:type="spellEnd"/>
      <w:r w:rsidRPr="00A0306B">
        <w:t xml:space="preserve"> </w:t>
      </w:r>
      <w:proofErr w:type="spellStart"/>
      <w:r w:rsidRPr="00A0306B">
        <w:t>ordin</w:t>
      </w:r>
      <w:proofErr w:type="spellEnd"/>
      <w:r w:rsidRPr="00A0306B">
        <w:t>.</w:t>
      </w:r>
    </w:p>
    <w:p w14:paraId="5CF766C9" w14:textId="7E1F4BBA" w:rsidR="00FA6662" w:rsidRPr="00A0306B" w:rsidRDefault="00FA6662" w:rsidP="00FA6662">
      <w:pPr>
        <w:pStyle w:val="al"/>
        <w:shd w:val="clear" w:color="auto" w:fill="FFFFFF"/>
        <w:spacing w:before="0" w:beforeAutospacing="0" w:after="150" w:afterAutospacing="0"/>
        <w:jc w:val="both"/>
      </w:pPr>
      <w:r w:rsidRPr="00A0306B">
        <w:rPr>
          <w:b/>
          <w:bCs/>
        </w:rPr>
        <w:t>7.</w:t>
      </w:r>
      <w:r w:rsidRPr="00A0306B">
        <w:t> </w:t>
      </w:r>
      <w:proofErr w:type="spellStart"/>
      <w:r w:rsidRPr="00A0306B">
        <w:t>Anexa</w:t>
      </w:r>
      <w:proofErr w:type="spellEnd"/>
      <w:r w:rsidRPr="00A0306B">
        <w:t xml:space="preserve"> nr. 3 la </w:t>
      </w:r>
      <w:proofErr w:type="spellStart"/>
      <w:r w:rsidRPr="00A0306B">
        <w:t>procedură</w:t>
      </w:r>
      <w:proofErr w:type="spellEnd"/>
      <w:r w:rsidRPr="00A0306B">
        <w:t xml:space="preserve"> se </w:t>
      </w:r>
      <w:proofErr w:type="spellStart"/>
      <w:r w:rsidRPr="00A0306B">
        <w:t>modifică</w:t>
      </w:r>
      <w:proofErr w:type="spellEnd"/>
      <w:r w:rsidRPr="00A0306B">
        <w:t xml:space="preserve"> </w:t>
      </w:r>
      <w:proofErr w:type="spellStart"/>
      <w:r w:rsidRPr="00A0306B">
        <w:t>şi</w:t>
      </w:r>
      <w:proofErr w:type="spellEnd"/>
      <w:r w:rsidRPr="00A0306B">
        <w:t xml:space="preserve"> se </w:t>
      </w:r>
      <w:proofErr w:type="spellStart"/>
      <w:r w:rsidRPr="00A0306B">
        <w:t>înlocuieşte</w:t>
      </w:r>
      <w:proofErr w:type="spellEnd"/>
      <w:r w:rsidRPr="00A0306B">
        <w:t xml:space="preserve"> cu </w:t>
      </w:r>
      <w:proofErr w:type="spellStart"/>
      <w:r w:rsidRPr="00A0306B">
        <w:t>anexa</w:t>
      </w:r>
      <w:proofErr w:type="spellEnd"/>
      <w:r w:rsidRPr="00A0306B">
        <w:t xml:space="preserve"> nr. 2 la </w:t>
      </w:r>
      <w:proofErr w:type="spellStart"/>
      <w:r w:rsidRPr="00A0306B">
        <w:t>prezentul</w:t>
      </w:r>
      <w:proofErr w:type="spellEnd"/>
      <w:r w:rsidRPr="00A0306B">
        <w:t xml:space="preserve"> </w:t>
      </w:r>
      <w:proofErr w:type="spellStart"/>
      <w:r w:rsidRPr="00A0306B">
        <w:t>ordin</w:t>
      </w:r>
      <w:proofErr w:type="spellEnd"/>
      <w:r w:rsidRPr="00A0306B">
        <w:t>.</w:t>
      </w:r>
    </w:p>
    <w:p w14:paraId="1A2F165F" w14:textId="7C741C06" w:rsidR="00FA6662" w:rsidRPr="00A0306B" w:rsidRDefault="00FA6662" w:rsidP="00FA6662">
      <w:pPr>
        <w:pStyle w:val="al"/>
        <w:shd w:val="clear" w:color="auto" w:fill="FFFFFF"/>
        <w:spacing w:before="0" w:beforeAutospacing="0" w:after="150" w:afterAutospacing="0"/>
        <w:jc w:val="both"/>
      </w:pPr>
      <w:r w:rsidRPr="00A0306B">
        <w:rPr>
          <w:b/>
          <w:bCs/>
        </w:rPr>
        <w:t>8.</w:t>
      </w:r>
      <w:r w:rsidRPr="00A0306B">
        <w:t> </w:t>
      </w:r>
      <w:proofErr w:type="spellStart"/>
      <w:r w:rsidRPr="00A0306B">
        <w:t>Anexa</w:t>
      </w:r>
      <w:proofErr w:type="spellEnd"/>
      <w:r w:rsidRPr="00A0306B">
        <w:t xml:space="preserve"> nr. 4 la </w:t>
      </w:r>
      <w:proofErr w:type="spellStart"/>
      <w:r w:rsidRPr="00A0306B">
        <w:t>procedură</w:t>
      </w:r>
      <w:proofErr w:type="spellEnd"/>
      <w:r w:rsidRPr="00A0306B">
        <w:t xml:space="preserve"> se </w:t>
      </w:r>
      <w:proofErr w:type="spellStart"/>
      <w:r w:rsidRPr="00A0306B">
        <w:t>modifică</w:t>
      </w:r>
      <w:proofErr w:type="spellEnd"/>
      <w:r w:rsidRPr="00A0306B">
        <w:t xml:space="preserve"> </w:t>
      </w:r>
      <w:proofErr w:type="spellStart"/>
      <w:r w:rsidRPr="00A0306B">
        <w:t>şi</w:t>
      </w:r>
      <w:proofErr w:type="spellEnd"/>
      <w:r w:rsidRPr="00A0306B">
        <w:t xml:space="preserve"> se </w:t>
      </w:r>
      <w:proofErr w:type="spellStart"/>
      <w:r w:rsidRPr="00A0306B">
        <w:t>înlocuieşte</w:t>
      </w:r>
      <w:proofErr w:type="spellEnd"/>
      <w:r w:rsidRPr="00A0306B">
        <w:t xml:space="preserve"> cu </w:t>
      </w:r>
      <w:proofErr w:type="spellStart"/>
      <w:r w:rsidRPr="00A0306B">
        <w:t>anexa</w:t>
      </w:r>
      <w:proofErr w:type="spellEnd"/>
      <w:r w:rsidRPr="00A0306B">
        <w:t xml:space="preserve"> nr. 3 la </w:t>
      </w:r>
      <w:proofErr w:type="spellStart"/>
      <w:r w:rsidRPr="00A0306B">
        <w:t>prezentul</w:t>
      </w:r>
      <w:proofErr w:type="spellEnd"/>
      <w:r w:rsidRPr="00A0306B">
        <w:t xml:space="preserve"> </w:t>
      </w:r>
      <w:proofErr w:type="spellStart"/>
      <w:r w:rsidRPr="00A0306B">
        <w:t>ordin</w:t>
      </w:r>
      <w:proofErr w:type="spellEnd"/>
      <w:r w:rsidRPr="00A0306B">
        <w:t>.</w:t>
      </w:r>
    </w:p>
    <w:p w14:paraId="1B79FCD3" w14:textId="7E756F14" w:rsidR="00FA6662" w:rsidRPr="00A0306B" w:rsidRDefault="00FA6662" w:rsidP="00FA6662">
      <w:pPr>
        <w:pStyle w:val="al"/>
        <w:shd w:val="clear" w:color="auto" w:fill="FFFFFF"/>
        <w:spacing w:before="0" w:beforeAutospacing="0" w:after="150" w:afterAutospacing="0"/>
        <w:jc w:val="both"/>
      </w:pPr>
      <w:r w:rsidRPr="00A0306B">
        <w:rPr>
          <w:b/>
          <w:bCs/>
        </w:rPr>
        <w:t>9.</w:t>
      </w:r>
      <w:r w:rsidRPr="00A0306B">
        <w:t> </w:t>
      </w:r>
      <w:proofErr w:type="spellStart"/>
      <w:r w:rsidRPr="00A0306B">
        <w:t>Anexa</w:t>
      </w:r>
      <w:proofErr w:type="spellEnd"/>
      <w:r w:rsidRPr="00A0306B">
        <w:t xml:space="preserve"> nr. 5 la </w:t>
      </w:r>
      <w:proofErr w:type="spellStart"/>
      <w:r w:rsidRPr="00A0306B">
        <w:t>procedură</w:t>
      </w:r>
      <w:proofErr w:type="spellEnd"/>
      <w:r w:rsidRPr="00A0306B">
        <w:t xml:space="preserve"> se </w:t>
      </w:r>
      <w:proofErr w:type="spellStart"/>
      <w:r w:rsidRPr="00A0306B">
        <w:t>modifică</w:t>
      </w:r>
      <w:proofErr w:type="spellEnd"/>
      <w:r w:rsidRPr="00A0306B">
        <w:t xml:space="preserve"> </w:t>
      </w:r>
      <w:proofErr w:type="spellStart"/>
      <w:r w:rsidRPr="00A0306B">
        <w:t>şi</w:t>
      </w:r>
      <w:proofErr w:type="spellEnd"/>
      <w:r w:rsidRPr="00A0306B">
        <w:t xml:space="preserve"> se </w:t>
      </w:r>
      <w:proofErr w:type="spellStart"/>
      <w:r w:rsidRPr="00A0306B">
        <w:t>înlocuieşte</w:t>
      </w:r>
      <w:proofErr w:type="spellEnd"/>
      <w:r w:rsidRPr="00A0306B">
        <w:t xml:space="preserve"> cu </w:t>
      </w:r>
      <w:proofErr w:type="spellStart"/>
      <w:r w:rsidRPr="00A0306B">
        <w:t>anexa</w:t>
      </w:r>
      <w:proofErr w:type="spellEnd"/>
      <w:r w:rsidRPr="00A0306B">
        <w:t xml:space="preserve"> nr. 4 la </w:t>
      </w:r>
      <w:proofErr w:type="spellStart"/>
      <w:r w:rsidRPr="00A0306B">
        <w:t>prezentul</w:t>
      </w:r>
      <w:proofErr w:type="spellEnd"/>
      <w:r w:rsidRPr="00A0306B">
        <w:t xml:space="preserve"> </w:t>
      </w:r>
      <w:proofErr w:type="spellStart"/>
      <w:r w:rsidRPr="00A0306B">
        <w:t>ordin</w:t>
      </w:r>
      <w:proofErr w:type="spellEnd"/>
      <w:r w:rsidRPr="00A0306B">
        <w:t>.</w:t>
      </w:r>
    </w:p>
    <w:p w14:paraId="31E4FAFA" w14:textId="1CF4B44F" w:rsidR="00FA6662" w:rsidRPr="00A0306B" w:rsidRDefault="00FA6662" w:rsidP="00FA6662">
      <w:pPr>
        <w:pStyle w:val="al"/>
        <w:shd w:val="clear" w:color="auto" w:fill="FFFFFF"/>
        <w:spacing w:before="0" w:beforeAutospacing="0" w:after="150" w:afterAutospacing="0"/>
        <w:jc w:val="both"/>
      </w:pPr>
      <w:r w:rsidRPr="00A0306B">
        <w:rPr>
          <w:b/>
          <w:bCs/>
        </w:rPr>
        <w:t>10.</w:t>
      </w:r>
      <w:r w:rsidRPr="00A0306B">
        <w:t> </w:t>
      </w:r>
      <w:proofErr w:type="spellStart"/>
      <w:r w:rsidRPr="00A0306B">
        <w:t>Anexa</w:t>
      </w:r>
      <w:proofErr w:type="spellEnd"/>
      <w:r w:rsidRPr="00A0306B">
        <w:t xml:space="preserve"> nr. 2 la </w:t>
      </w:r>
      <w:proofErr w:type="spellStart"/>
      <w:r w:rsidRPr="00A0306B">
        <w:t>ordin</w:t>
      </w:r>
      <w:proofErr w:type="spellEnd"/>
      <w:r w:rsidRPr="00A0306B">
        <w:t xml:space="preserve"> se </w:t>
      </w:r>
      <w:proofErr w:type="spellStart"/>
      <w:r w:rsidRPr="00A0306B">
        <w:t>modifică</w:t>
      </w:r>
      <w:proofErr w:type="spellEnd"/>
      <w:r w:rsidRPr="00A0306B">
        <w:t xml:space="preserve"> </w:t>
      </w:r>
      <w:proofErr w:type="spellStart"/>
      <w:r w:rsidRPr="00A0306B">
        <w:t>şi</w:t>
      </w:r>
      <w:proofErr w:type="spellEnd"/>
      <w:r w:rsidRPr="00A0306B">
        <w:t xml:space="preserve"> se </w:t>
      </w:r>
      <w:proofErr w:type="spellStart"/>
      <w:r w:rsidRPr="00A0306B">
        <w:t>înlocuieşte</w:t>
      </w:r>
      <w:proofErr w:type="spellEnd"/>
      <w:r w:rsidRPr="00A0306B">
        <w:t xml:space="preserve"> cu </w:t>
      </w:r>
      <w:proofErr w:type="spellStart"/>
      <w:r w:rsidRPr="00A0306B">
        <w:t>anexa</w:t>
      </w:r>
      <w:proofErr w:type="spellEnd"/>
      <w:r w:rsidRPr="00A0306B">
        <w:t xml:space="preserve"> nr. 5 la </w:t>
      </w:r>
      <w:proofErr w:type="spellStart"/>
      <w:r w:rsidRPr="00A0306B">
        <w:t>prezentul</w:t>
      </w:r>
      <w:proofErr w:type="spellEnd"/>
      <w:r w:rsidRPr="00A0306B">
        <w:t xml:space="preserve"> </w:t>
      </w:r>
      <w:proofErr w:type="spellStart"/>
      <w:r w:rsidRPr="00A0306B">
        <w:t>ordin</w:t>
      </w:r>
      <w:proofErr w:type="spellEnd"/>
      <w:r w:rsidRPr="00A0306B">
        <w:t>.</w:t>
      </w:r>
    </w:p>
    <w:p w14:paraId="387D17DF" w14:textId="204044FD" w:rsidR="00FA6662" w:rsidRPr="00A0306B" w:rsidRDefault="00FA6662" w:rsidP="00FA6662">
      <w:pPr>
        <w:pStyle w:val="al"/>
        <w:shd w:val="clear" w:color="auto" w:fill="FFFFFF"/>
        <w:spacing w:before="0" w:beforeAutospacing="0" w:after="150" w:afterAutospacing="0"/>
        <w:jc w:val="both"/>
      </w:pPr>
      <w:r w:rsidRPr="00A0306B">
        <w:rPr>
          <w:b/>
          <w:bCs/>
        </w:rPr>
        <w:t>11.</w:t>
      </w:r>
      <w:r w:rsidRPr="00A0306B">
        <w:t> </w:t>
      </w:r>
      <w:proofErr w:type="spellStart"/>
      <w:r w:rsidRPr="00A0306B">
        <w:t>Anexa</w:t>
      </w:r>
      <w:proofErr w:type="spellEnd"/>
      <w:r w:rsidRPr="00A0306B">
        <w:t xml:space="preserve"> nr. 3 la </w:t>
      </w:r>
      <w:proofErr w:type="spellStart"/>
      <w:r w:rsidRPr="00A0306B">
        <w:t>ordin</w:t>
      </w:r>
      <w:proofErr w:type="spellEnd"/>
      <w:r w:rsidRPr="00A0306B">
        <w:t xml:space="preserve"> se </w:t>
      </w:r>
      <w:proofErr w:type="spellStart"/>
      <w:r w:rsidRPr="00A0306B">
        <w:t>modifică</w:t>
      </w:r>
      <w:proofErr w:type="spellEnd"/>
      <w:r w:rsidRPr="00A0306B">
        <w:t xml:space="preserve"> </w:t>
      </w:r>
      <w:proofErr w:type="spellStart"/>
      <w:r w:rsidRPr="00A0306B">
        <w:t>şi</w:t>
      </w:r>
      <w:proofErr w:type="spellEnd"/>
      <w:r w:rsidRPr="00A0306B">
        <w:t xml:space="preserve"> se </w:t>
      </w:r>
      <w:proofErr w:type="spellStart"/>
      <w:r w:rsidRPr="00A0306B">
        <w:t>înlocuieşte</w:t>
      </w:r>
      <w:proofErr w:type="spellEnd"/>
      <w:r w:rsidRPr="00A0306B">
        <w:t xml:space="preserve"> cu </w:t>
      </w:r>
      <w:proofErr w:type="spellStart"/>
      <w:r w:rsidRPr="00A0306B">
        <w:t>anexa</w:t>
      </w:r>
      <w:proofErr w:type="spellEnd"/>
      <w:r w:rsidRPr="00A0306B">
        <w:t xml:space="preserve"> nr. 6 la </w:t>
      </w:r>
      <w:proofErr w:type="spellStart"/>
      <w:r w:rsidRPr="00A0306B">
        <w:t>prezentul</w:t>
      </w:r>
      <w:proofErr w:type="spellEnd"/>
      <w:r w:rsidRPr="00A0306B">
        <w:t xml:space="preserve"> </w:t>
      </w:r>
      <w:proofErr w:type="spellStart"/>
      <w:r w:rsidRPr="00A0306B">
        <w:t>ordin</w:t>
      </w:r>
      <w:proofErr w:type="spellEnd"/>
      <w:r w:rsidRPr="00A0306B">
        <w:t>.</w:t>
      </w:r>
    </w:p>
    <w:p w14:paraId="320991B1" w14:textId="359DED24" w:rsidR="00FA6662" w:rsidRPr="00A0306B" w:rsidRDefault="00FA6662" w:rsidP="00FA6662">
      <w:pPr>
        <w:pStyle w:val="Heading4"/>
        <w:shd w:val="clear" w:color="auto" w:fill="FFFFFF"/>
        <w:spacing w:before="225" w:beforeAutospacing="0" w:after="75" w:afterAutospacing="0"/>
        <w:jc w:val="both"/>
      </w:pPr>
      <w:r w:rsidRPr="00A0306B">
        <w:lastRenderedPageBreak/>
        <w:t>Art. II. -</w:t>
      </w:r>
    </w:p>
    <w:p w14:paraId="3426F850" w14:textId="0938457B" w:rsidR="00FA6662" w:rsidRPr="00A0306B" w:rsidRDefault="00FA6662" w:rsidP="00FA6662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A0306B">
        <w:t>Anexele</w:t>
      </w:r>
      <w:proofErr w:type="spellEnd"/>
      <w:r w:rsidRPr="00A0306B">
        <w:t xml:space="preserve"> nr. 1-6 fac </w:t>
      </w:r>
      <w:proofErr w:type="spellStart"/>
      <w:r w:rsidRPr="00A0306B">
        <w:t>parte</w:t>
      </w:r>
      <w:proofErr w:type="spellEnd"/>
      <w:r w:rsidRPr="00A0306B">
        <w:t xml:space="preserve"> </w:t>
      </w:r>
      <w:proofErr w:type="spellStart"/>
      <w:r w:rsidRPr="00A0306B">
        <w:t>integrantă</w:t>
      </w:r>
      <w:proofErr w:type="spellEnd"/>
      <w:r w:rsidRPr="00A0306B">
        <w:t xml:space="preserve"> din </w:t>
      </w:r>
      <w:proofErr w:type="spellStart"/>
      <w:r w:rsidRPr="00A0306B">
        <w:t>prezentul</w:t>
      </w:r>
      <w:proofErr w:type="spellEnd"/>
      <w:r w:rsidRPr="00A0306B">
        <w:t xml:space="preserve"> </w:t>
      </w:r>
      <w:proofErr w:type="spellStart"/>
      <w:r w:rsidRPr="00A0306B">
        <w:t>ordin</w:t>
      </w:r>
      <w:proofErr w:type="spellEnd"/>
      <w:r w:rsidRPr="00A0306B">
        <w:t>.</w:t>
      </w:r>
    </w:p>
    <w:p w14:paraId="5610D3B4" w14:textId="19C70ED3" w:rsidR="00FA6662" w:rsidRPr="00A0306B" w:rsidRDefault="00FA6662" w:rsidP="00FA6662">
      <w:pPr>
        <w:pStyle w:val="Heading4"/>
        <w:shd w:val="clear" w:color="auto" w:fill="FFFFFF"/>
        <w:spacing w:before="225" w:beforeAutospacing="0" w:after="75" w:afterAutospacing="0"/>
        <w:jc w:val="both"/>
      </w:pPr>
      <w:r w:rsidRPr="00A0306B">
        <w:t>Art. III. -</w:t>
      </w:r>
    </w:p>
    <w:p w14:paraId="06318B89" w14:textId="4405301B" w:rsidR="00FA6662" w:rsidRPr="00A0306B" w:rsidRDefault="00FA66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Prezentul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ordin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publică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Monitorul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Oficial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României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>Partea</w:t>
      </w:r>
      <w:proofErr w:type="spellEnd"/>
      <w:r w:rsidRPr="00A03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</w:t>
      </w:r>
    </w:p>
    <w:p w14:paraId="4793C8F5" w14:textId="3E0B92F8" w:rsidR="00FA6662" w:rsidRPr="00FA6662" w:rsidRDefault="00FA6662" w:rsidP="00FA6662">
      <w:pPr>
        <w:shd w:val="clear" w:color="auto" w:fill="FFFFFF"/>
        <w:spacing w:before="225" w:after="7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Art. IV. -</w:t>
      </w:r>
    </w:p>
    <w:p w14:paraId="0B914B5B" w14:textId="77777777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Direcţia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administrarea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veniturilor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Direcţia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reglementare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colectării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creanţelor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Agenţiei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Administraţia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contribuabili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nerezidenţi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Direcţiei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Regionale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Finanţelor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Bucureşti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lua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ducerea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îndeplinire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6065"/>
      </w:tblGrid>
      <w:tr w:rsidR="00A0306B" w:rsidRPr="00FA6662" w14:paraId="2D1579E7" w14:textId="77777777" w:rsidTr="00FA6662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48832" w14:textId="77777777" w:rsidR="00FA6662" w:rsidRPr="00FA6662" w:rsidRDefault="00FA6662" w:rsidP="00F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9D177" w14:textId="77777777" w:rsidR="00FA6662" w:rsidRPr="00FA6662" w:rsidRDefault="00FA6662" w:rsidP="00F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06B" w:rsidRPr="00FA6662" w14:paraId="346E7B7E" w14:textId="77777777" w:rsidTr="00FA6662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26B2F" w14:textId="77777777" w:rsidR="00FA6662" w:rsidRPr="00FA6662" w:rsidRDefault="00FA6662" w:rsidP="00F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6C2DE" w14:textId="77777777" w:rsidR="00FA6662" w:rsidRPr="00FA6662" w:rsidRDefault="00FA6662" w:rsidP="00FA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662">
              <w:rPr>
                <w:rFonts w:ascii="Times New Roman" w:eastAsia="Times New Roman" w:hAnsi="Times New Roman" w:cs="Times New Roman"/>
                <w:sz w:val="24"/>
                <w:szCs w:val="24"/>
              </w:rPr>
              <w:t>Preşedintele</w:t>
            </w:r>
            <w:proofErr w:type="spellEnd"/>
            <w:r w:rsidRPr="00FA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662">
              <w:rPr>
                <w:rFonts w:ascii="Times New Roman" w:eastAsia="Times New Roman" w:hAnsi="Times New Roman" w:cs="Times New Roman"/>
                <w:sz w:val="24"/>
                <w:szCs w:val="24"/>
              </w:rPr>
              <w:t>Agenţiei</w:t>
            </w:r>
            <w:proofErr w:type="spellEnd"/>
            <w:r w:rsidRPr="00FA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662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FA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666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FA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662">
              <w:rPr>
                <w:rFonts w:ascii="Times New Roman" w:eastAsia="Times New Roman" w:hAnsi="Times New Roman" w:cs="Times New Roman"/>
                <w:sz w:val="24"/>
                <w:szCs w:val="24"/>
              </w:rPr>
              <w:t>Fiscală</w:t>
            </w:r>
            <w:proofErr w:type="spellEnd"/>
            <w:r w:rsidRPr="00FA66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66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Lucian-Ovidiu </w:t>
            </w:r>
            <w:proofErr w:type="spellStart"/>
            <w:r w:rsidRPr="00FA6662">
              <w:rPr>
                <w:rFonts w:ascii="Times New Roman" w:eastAsia="Times New Roman" w:hAnsi="Times New Roman" w:cs="Times New Roman"/>
                <w:sz w:val="24"/>
                <w:szCs w:val="24"/>
              </w:rPr>
              <w:t>Heiuş</w:t>
            </w:r>
            <w:proofErr w:type="spellEnd"/>
          </w:p>
        </w:tc>
      </w:tr>
    </w:tbl>
    <w:p w14:paraId="0D845722" w14:textId="77777777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Bucureşti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, 5 </w:t>
      </w:r>
      <w:proofErr w:type="spellStart"/>
      <w:r w:rsidRPr="00FA6662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FA6662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290F7C55" w14:textId="77777777" w:rsidR="00FA6662" w:rsidRPr="00FA6662" w:rsidRDefault="00FA6662" w:rsidP="00FA6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sz w:val="24"/>
          <w:szCs w:val="24"/>
        </w:rPr>
        <w:t>Nr. 1.610.</w:t>
      </w:r>
    </w:p>
    <w:p w14:paraId="52219F92" w14:textId="77777777" w:rsidR="00FA6662" w:rsidRPr="00FA6662" w:rsidRDefault="00FA6662" w:rsidP="00FA666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1(</w:t>
      </w:r>
      <w:proofErr w:type="spellStart"/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Anexa</w:t>
      </w:r>
      <w:proofErr w:type="spellEnd"/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2 la </w:t>
      </w:r>
      <w:proofErr w:type="spellStart"/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procedură</w:t>
      </w:r>
      <w:proofErr w:type="spellEnd"/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EF383F2" w14:textId="5C72CF31" w:rsidR="00FA6662" w:rsidRPr="00FA6662" w:rsidRDefault="00FA6662" w:rsidP="00FA66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CERERE DE INFORMAŢII SUPLIMENTARE</w:t>
      </w:r>
    </w:p>
    <w:p w14:paraId="0F19C7F0" w14:textId="43E3CAB1" w:rsidR="00FA6662" w:rsidRPr="00FA6662" w:rsidRDefault="00FA6662" w:rsidP="00FA66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6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40CA0A" wp14:editId="203C49B1">
            <wp:extent cx="5334000" cy="7458075"/>
            <wp:effectExtent l="0" t="0" r="0" b="9525"/>
            <wp:docPr id="1" name="Picture 1" descr="Cerer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er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800C0" w14:textId="77777777" w:rsidR="00FA6662" w:rsidRPr="00FA6662" w:rsidRDefault="00FA6662" w:rsidP="00FA666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2(</w:t>
      </w:r>
      <w:proofErr w:type="spellStart"/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Anexa</w:t>
      </w:r>
      <w:proofErr w:type="spellEnd"/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3 la </w:t>
      </w:r>
      <w:proofErr w:type="spellStart"/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procedură</w:t>
      </w:r>
      <w:proofErr w:type="spellEnd"/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2E1B94B" w14:textId="308C3B96" w:rsidR="00FA6662" w:rsidRPr="00FA6662" w:rsidRDefault="00FA6662" w:rsidP="00FA66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CERERE DE INFORMAŢII SUPLIMENTARE</w:t>
      </w:r>
    </w:p>
    <w:p w14:paraId="5791CE4F" w14:textId="2D3703A9" w:rsidR="00FA6662" w:rsidRPr="00A0306B" w:rsidRDefault="00FA6662" w:rsidP="00FA6662">
      <w:pPr>
        <w:pStyle w:val="ac"/>
        <w:shd w:val="clear" w:color="auto" w:fill="FFFFFF"/>
        <w:spacing w:before="0" w:beforeAutospacing="0" w:after="150" w:afterAutospacing="0"/>
        <w:jc w:val="center"/>
      </w:pPr>
      <w:hyperlink r:id="rId7" w:tgtFrame="_blank" w:history="1">
        <w:r w:rsidRPr="00A0306B">
          <w:br/>
        </w:r>
        <w:r w:rsidRPr="00A0306B">
          <w:rPr>
            <w:noProof/>
          </w:rPr>
          <w:drawing>
            <wp:inline distT="0" distB="0" distL="0" distR="0" wp14:anchorId="4E85C717" wp14:editId="29C95E65">
              <wp:extent cx="5219700" cy="7229475"/>
              <wp:effectExtent l="0" t="0" r="0" b="9525"/>
              <wp:docPr id="5" name="Picture 5" descr="Cerere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erere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19700" cy="7229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FA48A4A" w14:textId="77777777" w:rsidR="00FA6662" w:rsidRPr="00A0306B" w:rsidRDefault="00FA6662" w:rsidP="00FA6662">
      <w:pPr>
        <w:pStyle w:val="Heading4"/>
        <w:shd w:val="clear" w:color="auto" w:fill="FFFFFF"/>
        <w:spacing w:before="0" w:beforeAutospacing="0" w:after="0" w:afterAutospacing="0"/>
        <w:jc w:val="right"/>
      </w:pPr>
      <w:r w:rsidRPr="00A0306B">
        <w:t>ANEXA Nr. 3(</w:t>
      </w:r>
      <w:proofErr w:type="spellStart"/>
      <w:r w:rsidRPr="00A0306B">
        <w:t>Anexa</w:t>
      </w:r>
      <w:proofErr w:type="spellEnd"/>
      <w:r w:rsidRPr="00A0306B">
        <w:t xml:space="preserve"> nr. 4 la </w:t>
      </w:r>
      <w:proofErr w:type="spellStart"/>
      <w:r w:rsidRPr="00A0306B">
        <w:t>procedură</w:t>
      </w:r>
      <w:proofErr w:type="spellEnd"/>
      <w:r w:rsidRPr="00A0306B">
        <w:t>)</w:t>
      </w:r>
    </w:p>
    <w:p w14:paraId="3659E757" w14:textId="056C13E5" w:rsidR="00FA6662" w:rsidRPr="00A0306B" w:rsidRDefault="00FA6662" w:rsidP="00FA6662">
      <w:pPr>
        <w:pStyle w:val="Heading4"/>
        <w:shd w:val="clear" w:color="auto" w:fill="FFFFFF"/>
        <w:spacing w:before="0" w:beforeAutospacing="0" w:after="0" w:afterAutospacing="0"/>
        <w:jc w:val="center"/>
      </w:pPr>
      <w:r w:rsidRPr="00A0306B">
        <w:t>CERERE DE INFORMAŢII SUPLIMENTARE</w:t>
      </w:r>
    </w:p>
    <w:p w14:paraId="320CBFC2" w14:textId="6FF3D8DB" w:rsidR="00FA6662" w:rsidRPr="00A0306B" w:rsidRDefault="00FA6662" w:rsidP="00FA6662">
      <w:pPr>
        <w:pStyle w:val="ac"/>
        <w:shd w:val="clear" w:color="auto" w:fill="FFFFFF"/>
        <w:spacing w:before="0" w:beforeAutospacing="0" w:after="150" w:afterAutospacing="0"/>
        <w:jc w:val="center"/>
      </w:pPr>
      <w:r w:rsidRPr="00A0306B">
        <w:rPr>
          <w:noProof/>
        </w:rPr>
        <w:lastRenderedPageBreak/>
        <w:drawing>
          <wp:inline distT="0" distB="0" distL="0" distR="0" wp14:anchorId="7D33A16B" wp14:editId="63954137">
            <wp:extent cx="5276850" cy="7410450"/>
            <wp:effectExtent l="0" t="0" r="0" b="0"/>
            <wp:docPr id="4" name="Picture 4" descr="Cerer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er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566F" w14:textId="77777777" w:rsidR="00FA6662" w:rsidRPr="00A0306B" w:rsidRDefault="00FA6662" w:rsidP="00FA6662">
      <w:pPr>
        <w:pStyle w:val="Heading4"/>
        <w:shd w:val="clear" w:color="auto" w:fill="FFFFFF"/>
        <w:spacing w:before="0" w:beforeAutospacing="0" w:after="0" w:afterAutospacing="0"/>
        <w:jc w:val="right"/>
      </w:pPr>
      <w:r w:rsidRPr="00A0306B">
        <w:t>ANEXA Nr. 4(</w:t>
      </w:r>
      <w:proofErr w:type="spellStart"/>
      <w:r w:rsidRPr="00A0306B">
        <w:t>Anexa</w:t>
      </w:r>
      <w:proofErr w:type="spellEnd"/>
      <w:r w:rsidRPr="00A0306B">
        <w:t xml:space="preserve"> nr. 5 la </w:t>
      </w:r>
      <w:proofErr w:type="spellStart"/>
      <w:r w:rsidRPr="00A0306B">
        <w:t>procedură</w:t>
      </w:r>
      <w:proofErr w:type="spellEnd"/>
      <w:r w:rsidRPr="00A0306B">
        <w:t>)</w:t>
      </w:r>
    </w:p>
    <w:p w14:paraId="6971BBCF" w14:textId="34C4AC4D" w:rsidR="00FA6662" w:rsidRPr="00A0306B" w:rsidRDefault="00FA6662" w:rsidP="00FA6662">
      <w:pPr>
        <w:pStyle w:val="Heading4"/>
        <w:shd w:val="clear" w:color="auto" w:fill="FFFFFF"/>
        <w:spacing w:before="0" w:beforeAutospacing="0" w:after="0" w:afterAutospacing="0"/>
        <w:jc w:val="center"/>
      </w:pPr>
      <w:r w:rsidRPr="00A0306B">
        <w:t>REFERAT PENTRU ANALIZĂ DOCUMENTARĂ</w:t>
      </w:r>
    </w:p>
    <w:p w14:paraId="4B3EEC16" w14:textId="6ADD8EF1" w:rsidR="00FA6662" w:rsidRPr="00A0306B" w:rsidRDefault="00FA6662" w:rsidP="00FA6662">
      <w:pPr>
        <w:pStyle w:val="ac"/>
        <w:shd w:val="clear" w:color="auto" w:fill="FFFFFF"/>
        <w:spacing w:before="0" w:beforeAutospacing="0" w:after="150" w:afterAutospacing="0"/>
        <w:jc w:val="center"/>
      </w:pPr>
      <w:r w:rsidRPr="00A0306B">
        <w:rPr>
          <w:noProof/>
        </w:rPr>
        <w:lastRenderedPageBreak/>
        <w:drawing>
          <wp:inline distT="0" distB="0" distL="0" distR="0" wp14:anchorId="40C48925" wp14:editId="17A9DF05">
            <wp:extent cx="5391150" cy="7496175"/>
            <wp:effectExtent l="0" t="0" r="0" b="9525"/>
            <wp:docPr id="3" name="Picture 3" descr="Refera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era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3D372" w14:textId="77777777" w:rsidR="00FA6662" w:rsidRPr="00A0306B" w:rsidRDefault="00FA6662" w:rsidP="00FA6662">
      <w:pPr>
        <w:pStyle w:val="Heading4"/>
        <w:shd w:val="clear" w:color="auto" w:fill="FFFFFF"/>
        <w:spacing w:before="0" w:beforeAutospacing="0" w:after="0" w:afterAutospacing="0"/>
        <w:jc w:val="right"/>
      </w:pPr>
      <w:r w:rsidRPr="00A0306B">
        <w:t>ANEXA Nr. 5(</w:t>
      </w:r>
      <w:proofErr w:type="spellStart"/>
      <w:r w:rsidRPr="00A0306B">
        <w:t>Anexa</w:t>
      </w:r>
      <w:proofErr w:type="spellEnd"/>
      <w:r w:rsidRPr="00A0306B">
        <w:t xml:space="preserve"> nr. 2 la </w:t>
      </w:r>
      <w:proofErr w:type="spellStart"/>
      <w:r w:rsidRPr="00A0306B">
        <w:t>Ordinul</w:t>
      </w:r>
      <w:proofErr w:type="spellEnd"/>
      <w:r w:rsidRPr="00A0306B">
        <w:t xml:space="preserve"> nr. 2.809/2016)</w:t>
      </w:r>
    </w:p>
    <w:p w14:paraId="700392E1" w14:textId="5A8FCA4A" w:rsidR="00FA6662" w:rsidRPr="00A0306B" w:rsidRDefault="00FA6662" w:rsidP="00FA6662">
      <w:pPr>
        <w:pStyle w:val="Heading4"/>
        <w:shd w:val="clear" w:color="auto" w:fill="FFFFFF"/>
        <w:spacing w:before="0" w:beforeAutospacing="0" w:after="0" w:afterAutospacing="0"/>
        <w:jc w:val="center"/>
      </w:pPr>
      <w:r w:rsidRPr="00A0306B">
        <w:lastRenderedPageBreak/>
        <w:t>DECIZIE DE RAMBURSARE A TAXEI PE VALOAREA ADĂUGATĂ</w:t>
      </w:r>
      <w:r w:rsidRPr="00A0306B">
        <w:br/>
      </w:r>
      <w:proofErr w:type="spellStart"/>
      <w:r w:rsidRPr="00A0306B">
        <w:t>pentru</w:t>
      </w:r>
      <w:proofErr w:type="spellEnd"/>
      <w:r w:rsidRPr="00A0306B">
        <w:t xml:space="preserve"> </w:t>
      </w:r>
      <w:proofErr w:type="spellStart"/>
      <w:r w:rsidRPr="00A0306B">
        <w:t>persoanele</w:t>
      </w:r>
      <w:proofErr w:type="spellEnd"/>
      <w:r w:rsidRPr="00A0306B">
        <w:t xml:space="preserve"> </w:t>
      </w:r>
      <w:proofErr w:type="spellStart"/>
      <w:r w:rsidRPr="00A0306B">
        <w:t>impozabile</w:t>
      </w:r>
      <w:proofErr w:type="spellEnd"/>
      <w:r w:rsidRPr="00A0306B">
        <w:t xml:space="preserve"> </w:t>
      </w:r>
      <w:proofErr w:type="spellStart"/>
      <w:r w:rsidRPr="00A0306B">
        <w:t>nestabilite</w:t>
      </w:r>
      <w:proofErr w:type="spellEnd"/>
      <w:r w:rsidRPr="00A0306B">
        <w:t xml:space="preserve"> </w:t>
      </w:r>
      <w:proofErr w:type="spellStart"/>
      <w:r w:rsidRPr="00A0306B">
        <w:t>în</w:t>
      </w:r>
      <w:proofErr w:type="spellEnd"/>
      <w:r w:rsidRPr="00A0306B">
        <w:t xml:space="preserve"> </w:t>
      </w:r>
      <w:proofErr w:type="spellStart"/>
      <w:r w:rsidRPr="00A0306B">
        <w:t>România</w:t>
      </w:r>
      <w:proofErr w:type="spellEnd"/>
      <w:r w:rsidRPr="00A0306B">
        <w:t xml:space="preserve">, </w:t>
      </w:r>
      <w:proofErr w:type="spellStart"/>
      <w:r w:rsidRPr="00A0306B">
        <w:t>stabilite</w:t>
      </w:r>
      <w:proofErr w:type="spellEnd"/>
      <w:r w:rsidRPr="00A0306B">
        <w:t xml:space="preserve"> </w:t>
      </w:r>
      <w:proofErr w:type="spellStart"/>
      <w:r w:rsidRPr="00A0306B">
        <w:t>în</w:t>
      </w:r>
      <w:proofErr w:type="spellEnd"/>
      <w:r w:rsidRPr="00A0306B">
        <w:t xml:space="preserve"> alt stat </w:t>
      </w:r>
      <w:proofErr w:type="spellStart"/>
      <w:r w:rsidRPr="00A0306B">
        <w:t>membru</w:t>
      </w:r>
      <w:proofErr w:type="spellEnd"/>
      <w:r w:rsidRPr="00A0306B">
        <w:t xml:space="preserve"> al </w:t>
      </w:r>
      <w:proofErr w:type="spellStart"/>
      <w:r w:rsidRPr="00A0306B">
        <w:t>Uniunii</w:t>
      </w:r>
      <w:proofErr w:type="spellEnd"/>
      <w:r w:rsidRPr="00A0306B">
        <w:t xml:space="preserve"> </w:t>
      </w:r>
      <w:proofErr w:type="spellStart"/>
      <w:r w:rsidRPr="00A0306B">
        <w:t>Europene</w:t>
      </w:r>
      <w:proofErr w:type="spellEnd"/>
    </w:p>
    <w:p w14:paraId="5426B31B" w14:textId="46019503" w:rsidR="00FA6662" w:rsidRPr="00A0306B" w:rsidRDefault="00FA6662" w:rsidP="00FA6662">
      <w:pPr>
        <w:pStyle w:val="ac"/>
        <w:shd w:val="clear" w:color="auto" w:fill="FFFFFF"/>
        <w:spacing w:before="0" w:beforeAutospacing="0" w:after="150" w:afterAutospacing="0"/>
        <w:jc w:val="center"/>
      </w:pPr>
      <w:r w:rsidRPr="00A0306B">
        <w:rPr>
          <w:noProof/>
        </w:rPr>
        <w:drawing>
          <wp:inline distT="0" distB="0" distL="0" distR="0" wp14:anchorId="4ECE3345" wp14:editId="1D865899">
            <wp:extent cx="5257800" cy="7400925"/>
            <wp:effectExtent l="0" t="0" r="0" b="9525"/>
            <wp:docPr id="2" name="Picture 2" descr="Decizi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izi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A9517" w14:textId="77777777" w:rsidR="00FA6662" w:rsidRPr="00A0306B" w:rsidRDefault="00FA6662" w:rsidP="00FA6662">
      <w:pPr>
        <w:pStyle w:val="Heading4"/>
        <w:shd w:val="clear" w:color="auto" w:fill="FFFFFF"/>
        <w:spacing w:before="0" w:beforeAutospacing="0" w:after="0" w:afterAutospacing="0"/>
        <w:jc w:val="right"/>
      </w:pPr>
      <w:r w:rsidRPr="00A0306B">
        <w:t>ANEXA Nr. 6(</w:t>
      </w:r>
      <w:proofErr w:type="spellStart"/>
      <w:r w:rsidRPr="00A0306B">
        <w:t>Anexa</w:t>
      </w:r>
      <w:proofErr w:type="spellEnd"/>
      <w:r w:rsidRPr="00A0306B">
        <w:t xml:space="preserve"> nr. 3 la </w:t>
      </w:r>
      <w:proofErr w:type="spellStart"/>
      <w:r w:rsidRPr="00A0306B">
        <w:t>Ordinul</w:t>
      </w:r>
      <w:proofErr w:type="spellEnd"/>
      <w:r w:rsidRPr="00A0306B">
        <w:t xml:space="preserve"> nr. 2.809/2016)</w:t>
      </w:r>
    </w:p>
    <w:p w14:paraId="05467A9C" w14:textId="4F98F50D" w:rsidR="00FA6662" w:rsidRPr="00A0306B" w:rsidRDefault="00FA6662" w:rsidP="00FA6662">
      <w:pPr>
        <w:pStyle w:val="Heading4"/>
        <w:shd w:val="clear" w:color="auto" w:fill="FFFFFF"/>
        <w:spacing w:before="0" w:beforeAutospacing="0" w:after="0" w:afterAutospacing="0"/>
        <w:jc w:val="center"/>
      </w:pPr>
      <w:r w:rsidRPr="00A0306B">
        <w:lastRenderedPageBreak/>
        <w:t>DECIZIE</w:t>
      </w:r>
      <w:r w:rsidRPr="00A0306B">
        <w:br/>
      </w:r>
      <w:proofErr w:type="spellStart"/>
      <w:r w:rsidRPr="00A0306B">
        <w:t>privind</w:t>
      </w:r>
      <w:proofErr w:type="spellEnd"/>
      <w:r w:rsidRPr="00A0306B">
        <w:t xml:space="preserve"> </w:t>
      </w:r>
      <w:proofErr w:type="spellStart"/>
      <w:r w:rsidRPr="00A0306B">
        <w:t>stabilirea</w:t>
      </w:r>
      <w:proofErr w:type="spellEnd"/>
      <w:r w:rsidRPr="00A0306B">
        <w:t xml:space="preserve"> </w:t>
      </w:r>
      <w:proofErr w:type="spellStart"/>
      <w:r w:rsidRPr="00A0306B">
        <w:t>diferenţelor</w:t>
      </w:r>
      <w:proofErr w:type="spellEnd"/>
      <w:r w:rsidRPr="00A0306B">
        <w:t xml:space="preserve"> de </w:t>
      </w:r>
      <w:proofErr w:type="spellStart"/>
      <w:r w:rsidRPr="00A0306B">
        <w:t>taxă</w:t>
      </w:r>
      <w:proofErr w:type="spellEnd"/>
      <w:r w:rsidRPr="00A0306B">
        <w:t xml:space="preserve"> pe </w:t>
      </w:r>
      <w:proofErr w:type="spellStart"/>
      <w:r w:rsidRPr="00A0306B">
        <w:t>valoarea</w:t>
      </w:r>
      <w:proofErr w:type="spellEnd"/>
      <w:r w:rsidRPr="00A0306B">
        <w:t xml:space="preserve"> </w:t>
      </w:r>
      <w:proofErr w:type="spellStart"/>
      <w:r w:rsidRPr="00A0306B">
        <w:t>adăugată</w:t>
      </w:r>
      <w:proofErr w:type="spellEnd"/>
      <w:r w:rsidRPr="00A0306B">
        <w:t xml:space="preserve"> </w:t>
      </w:r>
      <w:proofErr w:type="spellStart"/>
      <w:r w:rsidRPr="00A0306B">
        <w:t>rambursată</w:t>
      </w:r>
      <w:proofErr w:type="spellEnd"/>
      <w:r w:rsidRPr="00A0306B">
        <w:t xml:space="preserve"> </w:t>
      </w:r>
      <w:proofErr w:type="spellStart"/>
      <w:r w:rsidRPr="00A0306B">
        <w:t>în</w:t>
      </w:r>
      <w:proofErr w:type="spellEnd"/>
      <w:r w:rsidRPr="00A0306B">
        <w:t xml:space="preserve"> </w:t>
      </w:r>
      <w:proofErr w:type="spellStart"/>
      <w:r w:rsidRPr="00A0306B">
        <w:t>condiţiile</w:t>
      </w:r>
      <w:proofErr w:type="spellEnd"/>
      <w:r w:rsidRPr="00A0306B">
        <w:t xml:space="preserve"> art. 302 </w:t>
      </w:r>
      <w:proofErr w:type="spellStart"/>
      <w:r w:rsidRPr="00A0306B">
        <w:t>alin</w:t>
      </w:r>
      <w:proofErr w:type="spellEnd"/>
      <w:r w:rsidRPr="00A0306B">
        <w:t xml:space="preserve">. (1) lit. a) din </w:t>
      </w:r>
      <w:proofErr w:type="spellStart"/>
      <w:r w:rsidRPr="00A0306B">
        <w:t>Codul</w:t>
      </w:r>
      <w:proofErr w:type="spellEnd"/>
      <w:r w:rsidRPr="00A0306B">
        <w:t xml:space="preserve"> fiscal</w:t>
      </w:r>
    </w:p>
    <w:p w14:paraId="7BDA71AF" w14:textId="0AE8ADC8" w:rsidR="00FA6662" w:rsidRPr="00A0306B" w:rsidRDefault="00FA6662" w:rsidP="00FA6662">
      <w:pPr>
        <w:pStyle w:val="ac"/>
        <w:shd w:val="clear" w:color="auto" w:fill="FFFFFF"/>
        <w:spacing w:before="0" w:beforeAutospacing="0" w:after="150" w:afterAutospacing="0"/>
        <w:jc w:val="center"/>
      </w:pPr>
      <w:r w:rsidRPr="00A0306B">
        <w:rPr>
          <w:noProof/>
        </w:rPr>
        <w:drawing>
          <wp:inline distT="0" distB="0" distL="0" distR="0" wp14:anchorId="66298119" wp14:editId="178C3C4C">
            <wp:extent cx="5233914" cy="7277100"/>
            <wp:effectExtent l="0" t="0" r="5080" b="0"/>
            <wp:docPr id="6" name="Picture 6" descr="Decizi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cizi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767" cy="72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36011" w14:textId="77777777" w:rsidR="00FA6662" w:rsidRPr="00A0306B" w:rsidRDefault="00FA6662">
      <w:pPr>
        <w:rPr>
          <w:rFonts w:ascii="Times New Roman" w:hAnsi="Times New Roman" w:cs="Times New Roman"/>
          <w:sz w:val="24"/>
          <w:szCs w:val="24"/>
        </w:rPr>
      </w:pPr>
    </w:p>
    <w:sectPr w:rsidR="00FA6662" w:rsidRPr="00A0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6"/>
    <w:rsid w:val="000A5FF6"/>
    <w:rsid w:val="00A0306B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7174"/>
  <w15:chartTrackingRefBased/>
  <w15:docId w15:val="{1B1326AA-A185-4D8B-BE1F-A249AAC4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6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FA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666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66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">
    <w:name w:val="a_c"/>
    <w:basedOn w:val="Normal"/>
    <w:rsid w:val="00FA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1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3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7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ege5.ro/Gratuit/gezdknzugy4dk/decizie-ordin-1610-2022?dp=gq4tiobvgy2tgm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ezdknzugy4dk/cerere-ordin-1610-2022?dp=gq4tiobvgy2tena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ege5.ro/Gratuit/gezdknzugy4dk/referat-ordin-1610-2022?dp=gq4tiobvgy2tgma" TargetMode="External"/><Relationship Id="rId5" Type="http://schemas.openxmlformats.org/officeDocument/2006/relationships/hyperlink" Target="https://lege5.ro/Gratuit/gezdknzugy4dk/cerere-ordin-1610-2022?dp=gq4tiobvgy2temi" TargetMode="External"/><Relationship Id="rId15" Type="http://schemas.openxmlformats.org/officeDocument/2006/relationships/hyperlink" Target="https://lege5.ro/Gratuit/gezdknzugy4dk/decizie-ordin-1610-2022?dp=gq4tiobvgy2tgnq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lege5.ro/Gratuit/g43donzugq/legea-nr-227-2015-privind-codul-fiscal?d=2022-09-11" TargetMode="External"/><Relationship Id="rId9" Type="http://schemas.openxmlformats.org/officeDocument/2006/relationships/hyperlink" Target="https://lege5.ro/Gratuit/gezdknzugy4dk/cerere-ordin-1610-2022?dp=gq4tiobvgy2ten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2022-09-11T09:04:00Z</dcterms:created>
  <dcterms:modified xsi:type="dcterms:W3CDTF">2022-09-11T09:09:00Z</dcterms:modified>
</cp:coreProperties>
</file>